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Nieporęt dnia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14 stycznia 2021 r.</w:t>
      </w:r>
    </w:p>
    <w:p>
      <w:pPr>
        <w:pStyle w:val="Normal"/>
        <w:keepNext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GZK.271.3.2020</w:t>
      </w:r>
    </w:p>
    <w:p>
      <w:pPr>
        <w:pStyle w:val="Normal"/>
        <w:spacing w:before="0" w:after="0"/>
        <w:ind w:left="609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wg rozdzielnika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Zawiadomienie o wyborze najkorzystniejszej oferty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Dotyczy postępowania o udzielenie zamówienia publicznego w trybie przetargu nieograniczonego p.n. </w:t>
      </w:r>
      <w:bookmarkStart w:id="1" w:name="__DdeLink__3036_126787388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zxx" w:bidi="zxx"/>
        </w:rPr>
        <w:t>„</w:t>
      </w:r>
      <w:r>
        <w:rPr>
          <w:rStyle w:val="Domylnaczcionkaakapitu2"/>
          <w:rFonts w:eastAsia="Verdana" w:cs="Times New Roman" w:ascii="Times New Roman" w:hAnsi="Times New Roman"/>
          <w:b/>
          <w:bCs/>
          <w:color w:val="000000"/>
          <w:spacing w:val="-2"/>
          <w:sz w:val="24"/>
          <w:szCs w:val="24"/>
          <w:lang w:val="pl-PL" w:eastAsia="zxx" w:bidi="zxx"/>
        </w:rPr>
        <w:t>Dostawa wodomierzy i nadajników radiowych do zdalnego odczytu wodomierzy, wymiana wodomierzy oraz montaż nadajników radiowych na terenie gminy Nieporęt</w:t>
      </w:r>
      <w:bookmarkEnd w:id="1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zxx" w:bidi="zxx"/>
        </w:rPr>
        <w:t>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Działając na podstawie art. 92 ust. 1 pkt 1 ustawy z dnia 29 stycznia 2004 r. Prawo zamówień publicznych </w:t>
      </w:r>
      <w:r>
        <w:rPr>
          <w:rFonts w:cs="Times New Roman" w:ascii="Times New Roman" w:hAnsi="Times New Roman"/>
          <w:spacing w:val="-2"/>
          <w:sz w:val="24"/>
          <w:szCs w:val="24"/>
        </w:rPr>
        <w:t>(</w:t>
      </w:r>
      <w:r>
        <w:rPr>
          <w:rFonts w:cs="Times New Roman" w:ascii="Times New Roman" w:hAnsi="Times New Roman"/>
          <w:spacing w:val="-3"/>
          <w:sz w:val="24"/>
          <w:szCs w:val="24"/>
        </w:rPr>
        <w:t>Dz.</w:t>
      </w:r>
      <w:r>
        <w:rPr>
          <w:rFonts w:eastAsia="Verdana"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  <w:highlight w:val="white"/>
        </w:rPr>
        <w:t>U.</w:t>
      </w:r>
      <w:r>
        <w:rPr>
          <w:rFonts w:eastAsia="Verdana" w:cs="Times New Roman"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  <w:highlight w:val="white"/>
        </w:rPr>
        <w:t>z</w:t>
      </w:r>
      <w:r>
        <w:rPr>
          <w:rFonts w:eastAsia="Verdana" w:cs="Times New Roman"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  <w:highlight w:val="white"/>
        </w:rPr>
        <w:t>2019</w:t>
      </w:r>
      <w:r>
        <w:rPr>
          <w:rFonts w:eastAsia="Verdana" w:cs="Times New Roman"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  <w:highlight w:val="white"/>
        </w:rPr>
        <w:t>r.</w:t>
      </w:r>
      <w:r>
        <w:rPr>
          <w:rFonts w:eastAsia="Verdana" w:cs="Times New Roman" w:ascii="Times New Roman" w:hAnsi="Times New Roman"/>
          <w:spacing w:val="-3"/>
          <w:sz w:val="24"/>
          <w:szCs w:val="24"/>
          <w:highlight w:val="white"/>
        </w:rPr>
        <w:t>, poz. 1843 z późn. zm.</w:t>
      </w:r>
      <w:r>
        <w:rPr>
          <w:rFonts w:cs="Times New Roman" w:ascii="Times New Roman" w:hAnsi="Times New Roman"/>
          <w:spacing w:val="-1"/>
          <w:sz w:val="24"/>
          <w:szCs w:val="24"/>
          <w:highlight w:val="white"/>
        </w:rPr>
        <w:t xml:space="preserve">) </w:t>
      </w:r>
      <w:r>
        <w:rPr>
          <w:rFonts w:cs="Times New Roman" w:ascii="Times New Roman" w:hAnsi="Times New Roman"/>
          <w:sz w:val="24"/>
          <w:szCs w:val="24"/>
          <w:highlight w:val="white"/>
        </w:rPr>
        <w:t>z</w:t>
      </w:r>
      <w:r>
        <w:rPr>
          <w:rFonts w:cs="Times New Roman" w:ascii="Times New Roman" w:hAnsi="Times New Roman"/>
          <w:sz w:val="24"/>
          <w:szCs w:val="24"/>
        </w:rPr>
        <w:t xml:space="preserve">awiadamiam, że w przeprowadzonym postępowaniu o udzielenie zamówienia publicznego w trybie przetargu nieograniczonego p.n.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zxx" w:bidi="zxx"/>
        </w:rPr>
        <w:t>„</w:t>
      </w:r>
      <w:r>
        <w:rPr>
          <w:rStyle w:val="Domylnaczcionkaakapitu2"/>
          <w:rFonts w:eastAsia="Verdana" w:cs="Times New Roman" w:ascii="Times New Roman" w:hAnsi="Times New Roman"/>
          <w:b w:val="false"/>
          <w:bCs w:val="false"/>
          <w:color w:val="000000"/>
          <w:spacing w:val="-2"/>
          <w:sz w:val="24"/>
          <w:szCs w:val="24"/>
          <w:lang w:val="pl-PL" w:eastAsia="zxx" w:bidi="zxx"/>
        </w:rPr>
        <w:t>Dostawa wodomierzy i nadajników radiowych do zdalnego odczytu wodomierzy, wymiana wodomierzy oraz montaż nadajników radiowych na terenie gminy Nieporęt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zxx" w:bidi="zxx"/>
        </w:rPr>
        <w:t>”.</w:t>
      </w:r>
      <w:r>
        <w:rPr>
          <w:rFonts w:cs="Times New Roman" w:ascii="Times New Roman" w:hAnsi="Times New Roman"/>
          <w:sz w:val="24"/>
          <w:szCs w:val="24"/>
        </w:rPr>
        <w:t xml:space="preserve"> wybrano Wykonawcę: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PIAS-KAN sp. z o. o., al. Prymasa Tysiąclecia 78D,               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01-424 Warszawa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Ryczałtowa cena ofertowa w zł za cały zakres robót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en-US"/>
        </w:rPr>
        <w:t>546 778,05</w:t>
      </w:r>
      <w:r>
        <w:rPr>
          <w:rFonts w:cs="Times New Roman" w:ascii="Times New Roman" w:hAnsi="Times New Roman"/>
          <w:b/>
          <w:color w:val="FF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zł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(słownie: pięćset czterdzieści sześć tysięcy siedemset siedemdziesiąt osiem złotych pięć groszy).</w:t>
      </w:r>
    </w:p>
    <w:p>
      <w:pPr>
        <w:pStyle w:val="Normal"/>
        <w:widowControl w:val="false"/>
        <w:suppressAutoHyphens w:val="true"/>
        <w:snapToGrid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Termin udzielonej gwarancji: 5 lat. Termin udzielonej rękojmi: 5 lat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Uzasadnienie wyboru:</w:t>
      </w:r>
      <w:r>
        <w:rPr>
          <w:rFonts w:cs="Times New Roman" w:ascii="Times New Roman" w:hAnsi="Times New Roman"/>
          <w:sz w:val="24"/>
          <w:szCs w:val="24"/>
        </w:rPr>
        <w:t xml:space="preserve"> oferta zawiera najwyższą liczbę punktów wyliczoną jako suma punktów poszczególnych kryteriów. Podstawą prawną dokonanego wyboru jest art. 91 ust. 1 ustawy Prawo zamówień publicznych.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Zestawienie wykonawców, którzy złożyli oferty wraz ze streszczeniem oceny i porównania złożonych ofert zawierających punktację przyznaną ofertom w każdym kryterium oceny ofert i łączną punktację: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Złożono dwie oferty: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ab/>
      </w:r>
    </w:p>
    <w:tbl>
      <w:tblPr>
        <w:tblStyle w:val="Tabela-Siatka4"/>
        <w:tblW w:w="9590" w:type="dxa"/>
        <w:jc w:val="left"/>
        <w:tblInd w:w="-340" w:type="dxa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3299"/>
        <w:gridCol w:w="1190"/>
        <w:gridCol w:w="680"/>
        <w:gridCol w:w="996"/>
        <w:gridCol w:w="594"/>
        <w:gridCol w:w="6"/>
        <w:gridCol w:w="1021"/>
        <w:gridCol w:w="554"/>
        <w:gridCol w:w="4"/>
        <w:gridCol w:w="744"/>
      </w:tblGrid>
      <w:tr>
        <w:trPr/>
        <w:tc>
          <w:tcPr>
            <w:tcW w:w="501" w:type="dxa"/>
            <w:vMerge w:val="restart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  <w:t>Nr oferty</w:t>
            </w:r>
          </w:p>
        </w:tc>
        <w:tc>
          <w:tcPr>
            <w:tcW w:w="3299" w:type="dxa"/>
            <w:vMerge w:val="restart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Nazwa oferenta</w:t>
            </w:r>
          </w:p>
        </w:tc>
        <w:tc>
          <w:tcPr>
            <w:tcW w:w="1870" w:type="dxa"/>
            <w:gridSpan w:val="2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Kryterium 1</w:t>
            </w:r>
          </w:p>
        </w:tc>
        <w:tc>
          <w:tcPr>
            <w:tcW w:w="1590" w:type="dxa"/>
            <w:gridSpan w:val="2"/>
            <w:tcBorders/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Kryterium 2</w:t>
            </w:r>
          </w:p>
        </w:tc>
        <w:tc>
          <w:tcPr>
            <w:tcW w:w="1581" w:type="dxa"/>
            <w:gridSpan w:val="3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Kryterium 3</w:t>
            </w:r>
          </w:p>
        </w:tc>
        <w:tc>
          <w:tcPr>
            <w:tcW w:w="748" w:type="dxa"/>
            <w:gridSpan w:val="2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Suma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pkt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01" w:type="dxa"/>
            <w:vMerge w:val="continue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3299" w:type="dxa"/>
            <w:vMerge w:val="continue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0" w:type="dxa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Cena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ryczałtowa brutto [zł]</w:t>
            </w:r>
          </w:p>
        </w:tc>
        <w:tc>
          <w:tcPr>
            <w:tcW w:w="680" w:type="dxa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pkt</w:t>
            </w:r>
          </w:p>
        </w:tc>
        <w:tc>
          <w:tcPr>
            <w:tcW w:w="996" w:type="dxa"/>
            <w:tcBorders/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Termin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udzielonej gwarancji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[w latach]</w:t>
            </w:r>
          </w:p>
        </w:tc>
        <w:tc>
          <w:tcPr>
            <w:tcW w:w="600" w:type="dxa"/>
            <w:gridSpan w:val="2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pkt</w:t>
            </w:r>
          </w:p>
        </w:tc>
        <w:tc>
          <w:tcPr>
            <w:tcW w:w="1021" w:type="dxa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Termin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udzielonej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rękojmi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[w latach]</w:t>
            </w:r>
          </w:p>
        </w:tc>
        <w:tc>
          <w:tcPr>
            <w:tcW w:w="558" w:type="dxa"/>
            <w:gridSpan w:val="2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pkt</w:t>
            </w:r>
          </w:p>
        </w:tc>
        <w:tc>
          <w:tcPr>
            <w:tcW w:w="744" w:type="dxa"/>
            <w:tcBorders/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01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9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PIAS-KAN sp. z o. o.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al. Prymasa Tysiąclecia 78D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01-424 Warszawa</w:t>
            </w:r>
          </w:p>
        </w:tc>
        <w:tc>
          <w:tcPr>
            <w:tcW w:w="1190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546 778,05</w:t>
            </w:r>
          </w:p>
        </w:tc>
        <w:tc>
          <w:tcPr>
            <w:tcW w:w="680" w:type="dxa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6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21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  <w:gridSpan w:val="2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/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Środki ochrony prawnej.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 niniejszej decyzji przysługują środki ochrony prawnej określone w ustawie z dnia                   29 stycznia 2004 r. Prawo zamówień publicznych – Dział VI „Środki ochrony prawnej”.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Umowa w sprawie zamówienia pn.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zxx" w:bidi="zxx"/>
        </w:rPr>
        <w:t>„</w:t>
      </w:r>
      <w:r>
        <w:rPr>
          <w:rStyle w:val="Domylnaczcionkaakapitu2"/>
          <w:rFonts w:eastAsia="Verdana" w:cs="Times New Roman" w:ascii="Times New Roman" w:hAnsi="Times New Roman"/>
          <w:b/>
          <w:bCs/>
          <w:color w:val="000000"/>
          <w:spacing w:val="-2"/>
          <w:sz w:val="24"/>
          <w:szCs w:val="24"/>
          <w:lang w:val="pl-PL" w:eastAsia="zxx" w:bidi="zxx"/>
        </w:rPr>
        <w:t>Dostawa wodomierzy i nadajników radiowych do zdalnego odczytu wodomierzy, wymiana wodomierzy oraz montaż nadajników radiowych na terenie gminy Nieporęt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zxx" w:bidi="zxx"/>
        </w:rPr>
        <w:t>”</w:t>
      </w:r>
      <w:r>
        <w:rPr>
          <w:rFonts w:cs="Times New Roman" w:ascii="Times New Roman" w:hAnsi="Times New Roman"/>
          <w:sz w:val="24"/>
          <w:szCs w:val="24"/>
        </w:rPr>
        <w:t xml:space="preserve"> zostanie zawarta niezwłocznie, zgodnie z art. 94 ustawy z dnia 29 stycznia 2004 r. Prawo zamówień publicznych.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 xml:space="preserve">Otrzymują wg. rozdzielnika: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1/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PIAS-KAN sp. z o. o.,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al. Prymasa Tysiąclecia 78D,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eastAsia="en-US"/>
        </w:rPr>
        <w:t>01-424 Warszawa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2/ 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a/a.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ab/>
        <w:tab/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Dyrektor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ab/>
        <w:tab/>
        <w:tab/>
        <w:tab/>
        <w:tab/>
        <w:tab/>
        <w:tab/>
        <w:tab/>
        <w:tab/>
        <w:t>/-/ Marta Turska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53207"/>
    <w:rPr>
      <w:rFonts w:ascii="Segoe UI" w:hAnsi="Segoe UI" w:cs="Segoe UI"/>
      <w:sz w:val="18"/>
      <w:szCs w:val="18"/>
    </w:rPr>
  </w:style>
  <w:style w:type="character" w:styleId="Domylnaczcionkaakapitu2" w:customStyle="1">
    <w:name w:val="Domyślna czcionka akapitu2"/>
    <w:qFormat/>
    <w:rsid w:val="00261fd9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320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0218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c335c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e3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4b17d9"/>
    <w:pPr>
      <w:spacing w:after="0" w:line="240" w:lineRule="auto"/>
    </w:pPr>
    <w:rPr>
      <w:rFonts w:asciiTheme="majorHAnsi" w:hAnsiTheme="majorHAnsi" w:cstheme="majorBidi"/>
      <w:sz w:val="24"/>
      <w:szCs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037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59"/>
    <w:rsid w:val="001b2f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Application>LibreOffice/5.3.3.2$Windows_x86 LibreOffice_project/3d9a8b4b4e538a85e0782bd6c2d430bafe583448</Application>
  <Pages>1</Pages>
  <Words>348</Words>
  <Characters>2097</Characters>
  <CharactersWithSpaces>2460</CharactersWithSpaces>
  <Paragraphs>48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2016-10-14T08:36:00Z</dcterms:created>
  <dc:creator>Agnieszka Gawinska</dc:creator>
  <dc:description/>
  <dc:language>pl-PL</dc:language>
  <cp:lastModifiedBy/>
  <cp:lastPrinted>2020-05-29T10:40:18Z</cp:lastPrinted>
  <dcterms:modified xsi:type="dcterms:W3CDTF">2021-01-14T10:46:47Z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